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DF" w:rsidRDefault="00D150DF"/>
    <w:tbl>
      <w:tblPr>
        <w:tblW w:w="10500" w:type="dxa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00"/>
      </w:tblGrid>
      <w:tr w:rsidR="00D150DF" w:rsidRPr="00D150DF" w:rsidTr="00D150DF">
        <w:trPr>
          <w:tblCellSpacing w:w="37" w:type="dxa"/>
        </w:trPr>
        <w:tc>
          <w:tcPr>
            <w:tcW w:w="0" w:type="auto"/>
            <w:vAlign w:val="center"/>
            <w:hideMark/>
          </w:tcPr>
          <w:p w:rsidR="00D150DF" w:rsidRPr="00D150DF" w:rsidRDefault="00D150DF" w:rsidP="00D150D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b/>
                <w:bCs/>
                <w:color w:val="003399"/>
                <w:kern w:val="0"/>
                <w:sz w:val="26"/>
                <w:szCs w:val="26"/>
              </w:rPr>
            </w:pPr>
            <w:r w:rsidRPr="00D150DF">
              <w:rPr>
                <w:rFonts w:ascii="Arial" w:eastAsia="宋体" w:hAnsi="Arial" w:cs="Arial"/>
                <w:b/>
                <w:bCs/>
                <w:color w:val="003399"/>
                <w:kern w:val="0"/>
                <w:sz w:val="26"/>
                <w:szCs w:val="26"/>
              </w:rPr>
              <w:t>上市公司訊息</w:t>
            </w:r>
          </w:p>
        </w:tc>
      </w:tr>
      <w:tr w:rsidR="00D150DF" w:rsidRPr="00D150DF" w:rsidTr="00D150DF">
        <w:trPr>
          <w:tblCellSpacing w:w="37" w:type="dxa"/>
        </w:trPr>
        <w:tc>
          <w:tcPr>
            <w:tcW w:w="0" w:type="auto"/>
            <w:vAlign w:val="center"/>
            <w:hideMark/>
          </w:tcPr>
          <w:p w:rsidR="00D150DF" w:rsidRPr="00D150DF" w:rsidRDefault="00D150DF" w:rsidP="00D150D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D150DF" w:rsidRPr="00D150DF" w:rsidTr="00D150DF">
        <w:trPr>
          <w:tblCellSpacing w:w="37" w:type="dxa"/>
        </w:trPr>
        <w:tc>
          <w:tcPr>
            <w:tcW w:w="0" w:type="auto"/>
            <w:vAlign w:val="center"/>
            <w:hideMark/>
          </w:tcPr>
          <w:p w:rsidR="00D150DF" w:rsidRPr="00D150DF" w:rsidRDefault="00D150DF" w:rsidP="00D150DF">
            <w:pPr>
              <w:widowControl/>
              <w:spacing w:line="225" w:lineRule="atLeast"/>
              <w:jc w:val="left"/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</w:pP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交易所通告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 xml:space="preserve"> - 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復牌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</w:rPr>
              <w:t> 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br/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中軟國際有限公司的股份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(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證券代號：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00354)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將於今天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(10/7/2015)</w:t>
            </w:r>
            <w:r w:rsidRPr="00D150DF">
              <w:rPr>
                <w:rFonts w:ascii="Courier New" w:eastAsia="宋体" w:hAnsi="Courier New" w:cs="Courier New"/>
                <w:color w:val="000000"/>
                <w:kern w:val="0"/>
                <w:szCs w:val="21"/>
              </w:rPr>
              <w:t>上午九時正起恢復買賣。</w:t>
            </w:r>
          </w:p>
        </w:tc>
      </w:tr>
    </w:tbl>
    <w:p w:rsidR="007B3F58" w:rsidRPr="00D150DF" w:rsidRDefault="007B3F58"/>
    <w:sectPr w:rsidR="007B3F58" w:rsidRPr="00D150DF" w:rsidSect="007B3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0DF"/>
    <w:rsid w:val="007B3F58"/>
    <w:rsid w:val="00D1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2015-07-10T02:03:00Z</dcterms:created>
  <dcterms:modified xsi:type="dcterms:W3CDTF">2015-07-10T02:03:00Z</dcterms:modified>
</cp:coreProperties>
</file>